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ТЕХНИКО – ИКОНОМИЧЕСКА ОБОСНОВКА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 НА ЕЛЕКТРИЧЕСКА ЕНЕРГИЯ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96063B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„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ОРАНЖЕРИИ ГИМЕЛ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 ІІ“ 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 xml:space="preserve"> 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>ЕОО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Д</w:t>
      </w: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ТЕЦ „ОРАНЖЕРИЯ </w:t>
      </w:r>
      <w:r w:rsidR="0096063B" w:rsidRPr="00B12762">
        <w:rPr>
          <w:rFonts w:ascii="Times New Roman" w:hAnsi="Times New Roman"/>
          <w:b/>
          <w:sz w:val="32"/>
          <w:szCs w:val="32"/>
          <w:lang w:val="bg-BG"/>
        </w:rPr>
        <w:t>Левски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“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5B6F92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Март</w:t>
      </w:r>
      <w:r w:rsidR="00F442B9">
        <w:rPr>
          <w:rFonts w:ascii="Times New Roman" w:hAnsi="Times New Roman"/>
          <w:sz w:val="24"/>
          <w:szCs w:val="24"/>
          <w:lang w:val="bg-BG"/>
        </w:rPr>
        <w:t>, 20</w:t>
      </w:r>
      <w:r w:rsidR="00F442B9" w:rsidRPr="003511FD">
        <w:rPr>
          <w:rFonts w:ascii="Times New Roman" w:hAnsi="Times New Roman"/>
          <w:sz w:val="24"/>
          <w:szCs w:val="24"/>
          <w:lang w:val="bg-BG"/>
        </w:rPr>
        <w:t>20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Гр.София</w:t>
      </w: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367483" w:rsidRPr="00B12762" w:rsidRDefault="00367483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9E5FB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Правен статут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ООД е вписано в Регистъра на търговските дружества</w:t>
      </w:r>
      <w:r w:rsidR="002A7E24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7E24">
        <w:rPr>
          <w:rFonts w:ascii="Times New Roman" w:hAnsi="Times New Roman"/>
          <w:sz w:val="24"/>
          <w:szCs w:val="24"/>
          <w:lang w:val="bg-BG"/>
        </w:rPr>
        <w:t xml:space="preserve">на СГС </w:t>
      </w:r>
      <w:r w:rsidRPr="00B12762">
        <w:rPr>
          <w:rFonts w:ascii="Times New Roman" w:hAnsi="Times New Roman"/>
          <w:sz w:val="24"/>
          <w:szCs w:val="24"/>
          <w:lang w:val="bg-BG"/>
        </w:rPr>
        <w:t>под № 25483, том 300, стр. 82 по фирмено дело № 9275/1995 год.</w:t>
      </w:r>
    </w:p>
    <w:p w:rsidR="00B12762" w:rsidRPr="00B12762" w:rsidRDefault="002A7E24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едалище</w:t>
      </w:r>
      <w:r>
        <w:rPr>
          <w:rFonts w:ascii="Times New Roman" w:hAnsi="Times New Roman"/>
          <w:sz w:val="24"/>
          <w:szCs w:val="24"/>
          <w:lang w:val="bg-BG"/>
        </w:rPr>
        <w:t>то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и адрес</w:t>
      </w:r>
      <w:r>
        <w:rPr>
          <w:rFonts w:ascii="Times New Roman" w:hAnsi="Times New Roman"/>
          <w:sz w:val="24"/>
          <w:szCs w:val="24"/>
          <w:lang w:val="bg-BG"/>
        </w:rPr>
        <w:t>ът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на управление </w:t>
      </w:r>
      <w:r>
        <w:rPr>
          <w:rFonts w:ascii="Times New Roman" w:hAnsi="Times New Roman"/>
          <w:sz w:val="24"/>
          <w:szCs w:val="24"/>
          <w:lang w:val="bg-BG"/>
        </w:rPr>
        <w:t xml:space="preserve">на дружеството е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гр. София, район Кремиковци, кв. Враждебна, ул.</w:t>
      </w:r>
      <w:r w:rsidR="00C94091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”2-ра” №26А. Адресът за кореспонденция е гр. София, бул. “Арсеналски” №21.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се управлява и представлява от </w:t>
      </w:r>
      <w:r w:rsidR="00BB06F1">
        <w:rPr>
          <w:rFonts w:ascii="Times New Roman" w:hAnsi="Times New Roman"/>
          <w:sz w:val="24"/>
          <w:szCs w:val="24"/>
          <w:lang w:val="bg-BG"/>
        </w:rPr>
        <w:t>Евелина Евгениева Владимирова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, ЕГН </w:t>
      </w:r>
      <w:r w:rsidR="00BB06F1">
        <w:rPr>
          <w:rFonts w:ascii="Times New Roman" w:hAnsi="Times New Roman"/>
          <w:sz w:val="24"/>
          <w:szCs w:val="24"/>
          <w:lang w:val="bg-BG"/>
        </w:rPr>
        <w:t>5608021572</w:t>
      </w:r>
      <w:r w:rsidRPr="00B12762">
        <w:rPr>
          <w:rFonts w:ascii="Times New Roman" w:hAnsi="Times New Roman"/>
          <w:sz w:val="24"/>
          <w:szCs w:val="24"/>
          <w:lang w:val="bg-BG"/>
        </w:rPr>
        <w:t>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има регистрация по БУЛСТАТ: 831915153 и данъчна регистрация от 06.07.1995 год. при Данъчна служба “Кремиковци” - София. </w:t>
      </w:r>
    </w:p>
    <w:p w:rsidR="006501C0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Регистрация по Закона за данък върху добавената стойност е направена на 06.07.1995 год., а идентификационния номер по ДДС е BG831915153</w:t>
      </w:r>
    </w:p>
    <w:p w:rsidR="006501C0" w:rsidRPr="00B12762" w:rsidRDefault="006501C0" w:rsidP="005F5D89">
      <w:pPr>
        <w:pStyle w:val="ListParagraph"/>
        <w:ind w:left="1080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Основна дейност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Съгласно съдебната регистрация “Оранжерии Гимел ІІ” ЕООД е с предмет на дейност: </w:t>
      </w:r>
      <w:r w:rsidRPr="00B12762">
        <w:rPr>
          <w:rFonts w:ascii="Times New Roman" w:hAnsi="Times New Roman"/>
          <w:i/>
          <w:sz w:val="24"/>
          <w:szCs w:val="24"/>
          <w:lang w:val="bg-BG"/>
        </w:rPr>
        <w:t>Производство на оранжерийни зеленчуци, цветя, посадъчен материал, разсад и семена, търговия и изкупуване на селскостопанска продукция, обслужваща, сервизна, инженерингова, пласментно – снабдителна и търговска дейност, товарен автомобилен международен и вътрешен транспорт, както и всякаква друга дейност, която не е забранена от закона.</w:t>
      </w:r>
    </w:p>
    <w:p w:rsidR="00F442B9" w:rsidRPr="003511FD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Към настоящия момент “Оранжерии Гимел ІІ” ЕООД се занимава основно с производство на </w:t>
      </w:r>
      <w:r>
        <w:rPr>
          <w:rFonts w:ascii="Times New Roman" w:hAnsi="Times New Roman"/>
          <w:sz w:val="24"/>
          <w:szCs w:val="24"/>
          <w:lang w:val="bg-BG"/>
        </w:rPr>
        <w:t xml:space="preserve">биологични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оранжерийни зеленчуци – краставици и домати. През зимният сезон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(декември - юни) </w:t>
      </w:r>
      <w:r w:rsidR="00F442B9">
        <w:rPr>
          <w:rFonts w:ascii="Times New Roman" w:hAnsi="Times New Roman"/>
          <w:sz w:val="24"/>
          <w:szCs w:val="24"/>
          <w:lang w:val="bg-BG"/>
        </w:rPr>
        <w:t>в оранжерията се отглеждат 1</w:t>
      </w:r>
      <w:r w:rsidR="00F442B9" w:rsidRPr="00F442B9">
        <w:rPr>
          <w:rFonts w:ascii="Times New Roman" w:hAnsi="Times New Roman"/>
          <w:sz w:val="24"/>
          <w:szCs w:val="24"/>
          <w:lang w:val="bg-BG"/>
        </w:rPr>
        <w:t>20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дка краставици, а през летния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(юли - октомври)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105 дка краставици.  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В помощ и като допълнение на основната си дейност дружеството получи лиценз от Националната служба за растителна защита към Министерството на земеделието и горите /лиценз №996 от 21.04.2003г./ за извършване на търговия с био- продукти за растителна защита.  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ЕООД има регистрация като земеделски производител по реда на Наредба № 3 от 1999 г. за създаване и поддържане на регистър на земеделските производители. Дружеството е регистрирано на 20.03.2003 год. от Областна дирекция “Земеделие и гори” – гр. София.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Основен производствен обект на дружеството е оранжерия холандски тип</w:t>
      </w:r>
      <w:r w:rsidR="00485652">
        <w:rPr>
          <w:rFonts w:ascii="Times New Roman" w:hAnsi="Times New Roman"/>
          <w:sz w:val="24"/>
          <w:szCs w:val="24"/>
          <w:lang w:val="bg-BG"/>
        </w:rPr>
        <w:t>,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>находяща се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в гр.Левски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разположен</w:t>
      </w:r>
      <w:r w:rsidR="00485652">
        <w:rPr>
          <w:rFonts w:ascii="Times New Roman" w:hAnsi="Times New Roman"/>
          <w:sz w:val="24"/>
          <w:szCs w:val="24"/>
          <w:lang w:val="bg-BG"/>
        </w:rPr>
        <w:t>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върху </w:t>
      </w:r>
      <w:r w:rsidRPr="00B12762">
        <w:rPr>
          <w:rFonts w:ascii="Times New Roman" w:hAnsi="Times New Roman"/>
          <w:sz w:val="24"/>
          <w:szCs w:val="24"/>
          <w:lang w:val="bg-BG"/>
        </w:rPr>
        <w:t>площ от 190 дка, от които застроена оранжерийна площ в размер на 120 дка. Оранжерийният комплекс се състои от четири блока, всеки изграден от метална носеща конструкция, остъклена, с полезна площ от 2,2 м. в ниските части и 3,4 м. във високата си част. Блоковете са захранени с отоплителна, поливна, замъглителна и оросителна инсталации, както и инсталации за капково напояване и растителна защита.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На територията на обекта има двуетажна монолитна административна сграда, магазин – кафе, работнически стол, портал монолитен, склад манипулационен, битова сграда, складове за амбалаж, компресорно, трафопост, гаражи, работна работилница, помпена станция, склад за препарати, склад за торове, склад ГСМ (бензиностанция), две котелни помещения. </w:t>
      </w:r>
    </w:p>
    <w:p w:rsidR="006501C0" w:rsidRDefault="00B12762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Обектът е съоръжен с ел.захранване, външни и вътрешни газопроводни мрежи (за природен газ), водоснабдяване, канализация, асфалтови пътища, районно осветление, ограда.</w:t>
      </w:r>
    </w:p>
    <w:p w:rsidR="00367483" w:rsidRPr="00B12762" w:rsidRDefault="00367483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301B3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501C0" w:rsidRPr="00B12762" w:rsidRDefault="006501C0" w:rsidP="000301B3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Описание на централата</w:t>
      </w:r>
    </w:p>
    <w:p w:rsidR="00303566" w:rsidRPr="00303566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През м.Декември 201</w:t>
      </w:r>
      <w:r w:rsidR="00303566">
        <w:rPr>
          <w:rFonts w:ascii="Times New Roman" w:hAnsi="Times New Roman"/>
          <w:sz w:val="24"/>
          <w:szCs w:val="24"/>
          <w:lang w:val="bg-BG"/>
        </w:rPr>
        <w:t>3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Оранжерии Гимел ІІ ЕООД въведе в експлоатация ко- генерационна централа с газобутален двигател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 xml:space="preserve">Jenbacher JMS 620 GS- N.L. с номинална електрическа мощност от 3,044 MW и номинална топлинна мощност от 3,035 </w:t>
      </w:r>
      <w:r w:rsidR="00303566" w:rsidRPr="00303566">
        <w:rPr>
          <w:rFonts w:ascii="Times New Roman" w:hAnsi="Times New Roman"/>
          <w:sz w:val="24"/>
          <w:szCs w:val="24"/>
        </w:rPr>
        <w:t>MW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 в едно с всички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>съпътстващи съоръжения, площадкови мрежи и сгради за неговото нормално и едновременно с това максимално ефективно функциониране, както и свързването му с електроразпределителната мрежа на ЧЕЗ Разпределение България АД</w:t>
      </w:r>
      <w:r w:rsidR="00303566">
        <w:rPr>
          <w:rFonts w:ascii="Times New Roman" w:hAnsi="Times New Roman"/>
          <w:sz w:val="24"/>
          <w:szCs w:val="24"/>
          <w:lang w:val="bg-BG"/>
        </w:rPr>
        <w:t>.</w:t>
      </w:r>
      <w:r w:rsidR="00433B2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Pr="00B12762" w:rsidRDefault="006501C0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Основните технически характеристики на двигателя са: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Електрическа мощност 1 x 3044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Топлинна мощност  1 x 3035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Температурно ниво 70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- 90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С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Честота 50 Xц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Напрежение на тока 10,5 к</w:t>
      </w:r>
      <w:r w:rsidRPr="00D9642D">
        <w:rPr>
          <w:rFonts w:ascii="Times New Roman" w:hAnsi="Times New Roman"/>
          <w:sz w:val="24"/>
          <w:szCs w:val="24"/>
        </w:rPr>
        <w:t>V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Емисии: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NOx     &lt; 250 mg/Nm3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CO      &lt; 650 mg/Nm3 </w:t>
      </w:r>
    </w:p>
    <w:p w:rsidR="00D9642D" w:rsidRPr="00975297" w:rsidRDefault="00D9642D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75297">
        <w:rPr>
          <w:rFonts w:ascii="Times New Roman" w:hAnsi="Times New Roman"/>
          <w:sz w:val="24"/>
          <w:szCs w:val="24"/>
          <w:lang w:val="bg-BG"/>
        </w:rPr>
        <w:t>Цялата система включва следните основни компоненти: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20 цилиндров газов бутален двигател (ГБД);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електрически генератор Leroy Somer, тип: SA  54 UI95-4P, 6300 V, 50 Hz, 3805 kVA, cos phi 0,8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спомагателно оборудване – пускова система, система за охлаждане, смазочна система, система за захранване с гориво;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системи за регулиране и управление на електропроизводството; 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връзка с електрическата мрежа;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вентилация и подготовка на въздуха за горене;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система от присъединителни тръбопроводи, топлообменници, помпи, регулираща и спирателна арматура;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топлинен акумулатор – 1 бр. /резервоар за топла вода/ с обем по 3000 м3.</w:t>
      </w:r>
    </w:p>
    <w:p w:rsidR="00D9642D" w:rsidRDefault="00D9642D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6E55" w:rsidRPr="00B12762" w:rsidRDefault="00C86E55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A01B71" w:rsidRDefault="006501C0" w:rsidP="00B55148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A01B71">
        <w:rPr>
          <w:rFonts w:ascii="Times New Roman" w:hAnsi="Times New Roman"/>
          <w:b/>
          <w:sz w:val="24"/>
          <w:szCs w:val="24"/>
          <w:lang w:val="bg-BG"/>
        </w:rPr>
        <w:t xml:space="preserve">Прогнози 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Производствената програма на ко-генерационна инсталация с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Jenbacher JMS 620 GS- N.L.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е разработена при следните изходни параметри:</w:t>
      </w:r>
    </w:p>
    <w:p w:rsidR="006501C0" w:rsidRPr="003511FD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начална дата на </w:t>
      </w:r>
      <w:r w:rsidR="00D9642D">
        <w:rPr>
          <w:rFonts w:ascii="Times New Roman" w:hAnsi="Times New Roman"/>
          <w:sz w:val="24"/>
          <w:szCs w:val="24"/>
          <w:lang w:val="bg-BG"/>
        </w:rPr>
        <w:t>прогнозите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>- 01/</w:t>
      </w:r>
      <w:r w:rsidR="00D9642D">
        <w:rPr>
          <w:rFonts w:ascii="Times New Roman" w:hAnsi="Times New Roman"/>
          <w:sz w:val="24"/>
          <w:szCs w:val="24"/>
          <w:lang w:val="bg-BG"/>
        </w:rPr>
        <w:t>7</w:t>
      </w:r>
      <w:r w:rsidR="00F442B9">
        <w:rPr>
          <w:rFonts w:ascii="Times New Roman" w:hAnsi="Times New Roman"/>
          <w:sz w:val="24"/>
          <w:szCs w:val="24"/>
          <w:lang w:val="bg-BG"/>
        </w:rPr>
        <w:t>/20</w:t>
      </w:r>
      <w:r w:rsidR="00F442B9" w:rsidRPr="003511FD">
        <w:rPr>
          <w:rFonts w:ascii="Times New Roman" w:hAnsi="Times New Roman"/>
          <w:sz w:val="24"/>
          <w:szCs w:val="24"/>
          <w:lang w:val="bg-BG"/>
        </w:rPr>
        <w:t>20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електрическа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- 3,044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топлинна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- 3,035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нормално средногодишно натоварване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електрическа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60</w:t>
      </w:r>
      <w:r w:rsidRPr="00B12762">
        <w:rPr>
          <w:rFonts w:ascii="Times New Roman" w:hAnsi="Times New Roman"/>
          <w:sz w:val="24"/>
          <w:szCs w:val="24"/>
          <w:lang w:val="bg-BG"/>
        </w:rPr>
        <w:t>0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A17EBC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топлинна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592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3511FD" w:rsidRDefault="006501C0" w:rsidP="00A5798C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442B9" w:rsidRPr="003511FD" w:rsidRDefault="00F442B9" w:rsidP="00A5798C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442B9" w:rsidRPr="003511FD" w:rsidRDefault="00F442B9" w:rsidP="00A5798C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442B9" w:rsidRPr="003511FD" w:rsidRDefault="00F442B9" w:rsidP="00A5798C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501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862"/>
        <w:gridCol w:w="831"/>
        <w:gridCol w:w="967"/>
        <w:gridCol w:w="970"/>
        <w:gridCol w:w="1321"/>
        <w:gridCol w:w="1229"/>
        <w:gridCol w:w="1114"/>
        <w:gridCol w:w="1207"/>
      </w:tblGrid>
      <w:tr w:rsidR="00F442B9" w:rsidRPr="00F442B9" w:rsidTr="00F442B9">
        <w:trPr>
          <w:trHeight w:val="642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lastRenderedPageBreak/>
              <w:t>ТЕЦ Левски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Юли, 2020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Август, 2020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Септември, 2020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Октомври, 2020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Ноември, 2020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Декември, 2020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Произведено количество ел.енергия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312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250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125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562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1 123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Произведено количество топлинна енергия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311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249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124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560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1 120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ел.енергия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19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56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ел.енергия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6,01%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6,01%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6,31%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8,15%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5,35%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4,97%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топлинна енергия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28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топлинна енергия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Продадено количество ел.енергия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293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234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115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532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1 067</w:t>
            </w:r>
          </w:p>
        </w:tc>
      </w:tr>
      <w:tr w:rsidR="00F442B9" w:rsidRPr="00F442B9" w:rsidTr="00F442B9">
        <w:trPr>
          <w:trHeight w:val="260"/>
        </w:trPr>
        <w:tc>
          <w:tcPr>
            <w:tcW w:w="3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Отпусната топлинна енергия от централата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303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243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121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546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1 092</w:t>
            </w:r>
          </w:p>
        </w:tc>
      </w:tr>
    </w:tbl>
    <w:p w:rsidR="006E4494" w:rsidRDefault="002F2933" w:rsidP="00834A9E">
      <w:pPr>
        <w:pStyle w:val="ListParagraph"/>
        <w:ind w:left="284" w:firstLine="796"/>
        <w:jc w:val="both"/>
        <w:rPr>
          <w:sz w:val="20"/>
          <w:szCs w:val="20"/>
          <w:lang w:val="bg-BG" w:eastAsia="bg-BG"/>
        </w:rPr>
      </w:pPr>
      <w:r w:rsidRPr="002F2933">
        <w:fldChar w:fldCharType="begin"/>
      </w:r>
      <w:r w:rsidR="006E4494" w:rsidRPr="00F442B9">
        <w:rPr>
          <w:lang w:val="bg-BG"/>
        </w:rPr>
        <w:instrText xml:space="preserve"> </w:instrText>
      </w:r>
      <w:r w:rsidR="006E4494">
        <w:instrText>LINK</w:instrText>
      </w:r>
      <w:r w:rsidR="006E4494" w:rsidRPr="00F442B9">
        <w:rPr>
          <w:lang w:val="bg-BG"/>
        </w:rPr>
        <w:instrText xml:space="preserve"> </w:instrText>
      </w:r>
      <w:r w:rsidR="00D2717D">
        <w:rPr>
          <w:lang w:val="bg-BG"/>
        </w:rPr>
        <w:instrText xml:space="preserve">Excel.Sheet.8 "C:\\Users\\Bavarian\\Desktop\\Documents\\Oranjerii Gimel 2 EOOD\\Cogen\\7. Ceni\\4. Cena 01.07.2019 - 30.06.2020\\tsenovi-model-bez-litsenzia Levski  07 2019_06 2020.xls" PROGNOZA!R62C1:R70C8 </w:instrText>
      </w:r>
      <w:r w:rsidR="006E4494" w:rsidRPr="00F442B9">
        <w:rPr>
          <w:lang w:val="bg-BG"/>
        </w:rPr>
        <w:instrText>\</w:instrText>
      </w:r>
      <w:r w:rsidR="006E4494">
        <w:instrText>a</w:instrText>
      </w:r>
      <w:r w:rsidR="006E4494" w:rsidRPr="00F442B9">
        <w:rPr>
          <w:lang w:val="bg-BG"/>
        </w:rPr>
        <w:instrText xml:space="preserve"> \</w:instrText>
      </w:r>
      <w:r w:rsidR="006E4494">
        <w:instrText>f</w:instrText>
      </w:r>
      <w:r w:rsidR="006E4494" w:rsidRPr="00F442B9">
        <w:rPr>
          <w:lang w:val="bg-BG"/>
        </w:rPr>
        <w:instrText xml:space="preserve"> 4 \</w:instrText>
      </w:r>
      <w:r w:rsidR="006E4494">
        <w:instrText>h</w:instrText>
      </w:r>
      <w:r w:rsidR="006E4494" w:rsidRPr="00F442B9">
        <w:rPr>
          <w:lang w:val="bg-BG"/>
        </w:rPr>
        <w:instrText xml:space="preserve"> </w:instrText>
      </w:r>
      <w:r w:rsidRPr="002F2933">
        <w:fldChar w:fldCharType="separate"/>
      </w:r>
    </w:p>
    <w:p w:rsidR="006E4494" w:rsidRPr="00F442B9" w:rsidRDefault="002F2933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fldChar w:fldCharType="end"/>
      </w:r>
    </w:p>
    <w:p w:rsidR="006501C0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</w:rPr>
      </w:pPr>
    </w:p>
    <w:tbl>
      <w:tblPr>
        <w:tblW w:w="10452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3011"/>
        <w:gridCol w:w="751"/>
        <w:gridCol w:w="964"/>
        <w:gridCol w:w="1205"/>
        <w:gridCol w:w="876"/>
        <w:gridCol w:w="876"/>
        <w:gridCol w:w="876"/>
        <w:gridCol w:w="876"/>
        <w:gridCol w:w="1017"/>
      </w:tblGrid>
      <w:tr w:rsidR="00F442B9" w:rsidRPr="00F442B9" w:rsidTr="00F442B9">
        <w:trPr>
          <w:trHeight w:val="752"/>
        </w:trPr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ТЕЦ Левски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8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Януари, 2021</w:t>
            </w:r>
          </w:p>
        </w:tc>
        <w:tc>
          <w:tcPr>
            <w:tcW w:w="943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Февруари, 2021</w:t>
            </w:r>
          </w:p>
        </w:tc>
        <w:tc>
          <w:tcPr>
            <w:tcW w:w="8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Март, 2021</w:t>
            </w:r>
          </w:p>
        </w:tc>
        <w:tc>
          <w:tcPr>
            <w:tcW w:w="8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Април, 2021</w:t>
            </w:r>
          </w:p>
        </w:tc>
        <w:tc>
          <w:tcPr>
            <w:tcW w:w="8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Май, 2021</w:t>
            </w:r>
          </w:p>
        </w:tc>
        <w:tc>
          <w:tcPr>
            <w:tcW w:w="876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Юни, 2021</w:t>
            </w:r>
          </w:p>
        </w:tc>
        <w:tc>
          <w:tcPr>
            <w:tcW w:w="1017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EB9C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F442B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 xml:space="preserve">ОБЩО 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Произведено количество ел.енергия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1 186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1 498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1 061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874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562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125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7 987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Произведено количество топлинна енергия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1 182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1 493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1 058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7 964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ел.енергия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59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73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418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ел.енергия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4,95%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4,85%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5,00%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5,07%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5,37%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8,04%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 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топлинна енергия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30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199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Собствена консумация на топлинна енергия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2,50%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 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Продадено количество ел.енергия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1 127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1 425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1 008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7 569</w:t>
            </w:r>
          </w:p>
        </w:tc>
      </w:tr>
      <w:tr w:rsidR="00F442B9" w:rsidRPr="00F442B9" w:rsidTr="00F442B9">
        <w:trPr>
          <w:trHeight w:val="304"/>
        </w:trPr>
        <w:tc>
          <w:tcPr>
            <w:tcW w:w="3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Отпусната топлинна енергия от централата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МWh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1 153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1 456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1 031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849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546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121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2B9" w:rsidRPr="00F442B9" w:rsidRDefault="00F442B9" w:rsidP="00F442B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F442B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7 764</w:t>
            </w:r>
          </w:p>
        </w:tc>
      </w:tr>
    </w:tbl>
    <w:p w:rsidR="00FF23D1" w:rsidRPr="00367483" w:rsidRDefault="00FF23D1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FD755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Инвестиционна програма </w:t>
      </w:r>
    </w:p>
    <w:p w:rsidR="006501C0" w:rsidRPr="00B12762" w:rsidRDefault="0045530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Отчетната стойност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активите, участващи в Регулаторната база на активите при определяне на преференциална цена на комбинирана електрическа енергия е в размер на </w:t>
      </w:r>
      <w:r>
        <w:rPr>
          <w:rFonts w:ascii="Times New Roman" w:hAnsi="Times New Roman"/>
          <w:sz w:val="24"/>
          <w:szCs w:val="24"/>
          <w:lang w:val="bg-BG"/>
        </w:rPr>
        <w:t>6 696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</w:t>
      </w:r>
      <w:r w:rsidR="00FF38AF">
        <w:rPr>
          <w:rFonts w:ascii="Times New Roman" w:hAnsi="Times New Roman"/>
          <w:sz w:val="24"/>
          <w:szCs w:val="24"/>
          <w:lang w:val="bg-BG"/>
        </w:rPr>
        <w:t xml:space="preserve"> представляващи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в т.ч.:</w:t>
      </w:r>
    </w:p>
    <w:p w:rsidR="006501C0" w:rsidRPr="00B12762" w:rsidRDefault="00C81F0B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239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х</w:t>
      </w:r>
      <w:r>
        <w:rPr>
          <w:rFonts w:ascii="Times New Roman" w:hAnsi="Times New Roman"/>
          <w:sz w:val="24"/>
          <w:szCs w:val="24"/>
          <w:lang w:val="bg-BG"/>
        </w:rPr>
        <w:t>ил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.лв. 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F4359E">
        <w:rPr>
          <w:rFonts w:ascii="Times New Roman" w:hAnsi="Times New Roman"/>
          <w:sz w:val="24"/>
          <w:szCs w:val="24"/>
          <w:lang w:val="bg-BG"/>
        </w:rPr>
        <w:t>сгради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Pr="00B12762" w:rsidRDefault="00217CF6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507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 – </w:t>
      </w:r>
      <w:r>
        <w:rPr>
          <w:rFonts w:ascii="Times New Roman" w:hAnsi="Times New Roman"/>
          <w:sz w:val="24"/>
          <w:szCs w:val="24"/>
          <w:lang w:val="bg-BG"/>
        </w:rPr>
        <w:t>преставляващи 1/3 от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стойност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земята</w:t>
      </w:r>
      <w:r>
        <w:rPr>
          <w:rFonts w:ascii="Times New Roman" w:hAnsi="Times New Roman"/>
          <w:sz w:val="24"/>
          <w:szCs w:val="24"/>
          <w:lang w:val="bg-BG"/>
        </w:rPr>
        <w:t xml:space="preserve"> на оранжерийният комплекс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върху която са изградени сгради, съоръжения, инсталации и площадкови мрежи</w:t>
      </w:r>
      <w:r>
        <w:rPr>
          <w:rFonts w:ascii="Times New Roman" w:hAnsi="Times New Roman"/>
          <w:sz w:val="24"/>
          <w:szCs w:val="24"/>
          <w:lang w:val="bg-BG"/>
        </w:rPr>
        <w:t xml:space="preserve"> и др.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Default="000A78AD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</w:t>
      </w:r>
      <w:r w:rsidR="00C81F0B">
        <w:rPr>
          <w:rFonts w:ascii="Times New Roman" w:hAnsi="Times New Roman"/>
          <w:sz w:val="24"/>
          <w:szCs w:val="24"/>
          <w:lang w:val="bg-BG"/>
        </w:rPr>
        <w:t>950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 </w:t>
      </w:r>
      <w:r w:rsidR="00F4359E">
        <w:rPr>
          <w:rFonts w:ascii="Times New Roman" w:hAnsi="Times New Roman"/>
          <w:sz w:val="24"/>
          <w:szCs w:val="24"/>
          <w:lang w:val="bg-BG"/>
        </w:rPr>
        <w:t>съоръжения, машини и оборудване, в т.ч. част от съществуващи газопроводи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собственост на Оранжерии Гимел</w:t>
      </w:r>
      <w:r w:rsidR="00057E2D"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7E2D">
        <w:rPr>
          <w:rFonts w:ascii="Times New Roman" w:hAnsi="Times New Roman"/>
          <w:sz w:val="24"/>
          <w:szCs w:val="24"/>
          <w:lang w:val="bg-BG"/>
        </w:rPr>
        <w:t>ЕОО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Д.</w:t>
      </w:r>
    </w:p>
    <w:p w:rsidR="00C81F0B" w:rsidRPr="003511FD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442B9" w:rsidRPr="003511FD" w:rsidRDefault="00F442B9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1F0B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Натрупаните амортизационни отчисления на активите за периода </w:t>
      </w:r>
      <w:r w:rsidR="006E4494">
        <w:rPr>
          <w:rFonts w:ascii="Times New Roman" w:hAnsi="Times New Roman"/>
          <w:sz w:val="24"/>
          <w:szCs w:val="24"/>
          <w:lang w:val="bg-BG"/>
        </w:rPr>
        <w:t>на ползване, т.е. към 31.12.201</w:t>
      </w:r>
      <w:r w:rsidR="00F442B9" w:rsidRPr="003511FD">
        <w:rPr>
          <w:rFonts w:ascii="Times New Roman" w:hAnsi="Times New Roman"/>
          <w:sz w:val="24"/>
          <w:szCs w:val="24"/>
          <w:lang w:val="bg-BG"/>
        </w:rPr>
        <w:t>9</w:t>
      </w:r>
      <w:r w:rsidR="006E4494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г. са както следва:</w:t>
      </w:r>
    </w:p>
    <w:p w:rsidR="00C81F0B" w:rsidRDefault="00F442B9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95</w:t>
      </w:r>
      <w:r w:rsidR="00C81F0B">
        <w:rPr>
          <w:rFonts w:ascii="Times New Roman" w:hAnsi="Times New Roman"/>
          <w:sz w:val="24"/>
          <w:szCs w:val="24"/>
          <w:lang w:val="bg-BG"/>
        </w:rPr>
        <w:t xml:space="preserve"> хил.лв. – за сгради</w:t>
      </w:r>
    </w:p>
    <w:p w:rsidR="00C81F0B" w:rsidRDefault="00F442B9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F442B9">
        <w:rPr>
          <w:rFonts w:ascii="Times New Roman" w:hAnsi="Times New Roman"/>
          <w:sz w:val="24"/>
          <w:szCs w:val="24"/>
          <w:lang w:val="bg-BG"/>
        </w:rPr>
        <w:t>2 392</w:t>
      </w:r>
      <w:r w:rsidR="00C81F0B" w:rsidRPr="00C81F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F0B">
        <w:rPr>
          <w:rFonts w:ascii="Times New Roman" w:hAnsi="Times New Roman"/>
          <w:sz w:val="24"/>
          <w:szCs w:val="24"/>
          <w:lang w:val="bg-BG"/>
        </w:rPr>
        <w:t>хил.лв. – за сгради за съоръжения, машини и оборудване.</w:t>
      </w:r>
    </w:p>
    <w:p w:rsidR="00C81F0B" w:rsidRDefault="00C81F0B" w:rsidP="00C81F0B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Включените към дълготрайните материални активи на ко- генерационната инсталация част от съществуващи газопроводи счетоводно са напълно амортизирани през м.Април, 2016год. и за заведени като задбалансови активи.</w:t>
      </w:r>
      <w:r w:rsidR="00BA3191">
        <w:rPr>
          <w:rFonts w:ascii="Times New Roman" w:hAnsi="Times New Roman"/>
          <w:sz w:val="24"/>
          <w:szCs w:val="24"/>
          <w:lang w:val="bg-BG"/>
        </w:rPr>
        <w:t xml:space="preserve"> Разходи за амортизация за новия ценови период на тези активи не са предвидени.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Амортизационна програма </w:t>
      </w:r>
    </w:p>
    <w:p w:rsidR="006501C0" w:rsidRPr="00B12762" w:rsidRDefault="006501C0" w:rsidP="00AB1FE7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години.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7C4D11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Ремонтна програма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3511FD" w:rsidRDefault="006501C0" w:rsidP="007C4D11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двигателя и съгласно условията </w:t>
      </w:r>
      <w:r w:rsidR="0089645D">
        <w:rPr>
          <w:rFonts w:ascii="Times New Roman" w:hAnsi="Times New Roman"/>
          <w:sz w:val="24"/>
          <w:szCs w:val="24"/>
          <w:lang w:val="bg-BG"/>
        </w:rPr>
        <w:t>на договор за поддръжка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12762">
        <w:rPr>
          <w:rFonts w:ascii="Times New Roman" w:hAnsi="Times New Roman"/>
          <w:b/>
          <w:sz w:val="24"/>
          <w:szCs w:val="24"/>
        </w:rPr>
        <w:t>Hubauer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Anlagenbau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GmbH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, Австрия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за превантивна и последваща поддръжка на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Jenbacher JMS 620 GS </w:t>
      </w:r>
      <w:r w:rsidRPr="00B12762">
        <w:rPr>
          <w:rFonts w:ascii="Times New Roman" w:hAnsi="Times New Roman"/>
          <w:b/>
          <w:sz w:val="24"/>
          <w:szCs w:val="24"/>
        </w:rPr>
        <w:t>N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2762">
        <w:rPr>
          <w:rFonts w:ascii="Times New Roman" w:hAnsi="Times New Roman"/>
          <w:b/>
          <w:sz w:val="24"/>
          <w:szCs w:val="24"/>
        </w:rPr>
        <w:t>L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2762">
        <w:rPr>
          <w:rFonts w:ascii="Times New Roman" w:hAnsi="Times New Roman"/>
          <w:sz w:val="24"/>
          <w:szCs w:val="24"/>
          <w:lang w:val="bg-BG"/>
        </w:rPr>
        <w:t>от 0 до 59 999 моточаса на двигателя, а именно:</w:t>
      </w:r>
    </w:p>
    <w:p w:rsidR="00CC4D59" w:rsidRPr="003511FD" w:rsidRDefault="00CC4D59" w:rsidP="007C4D11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ab/>
        <w:t>В цената на поддръжката влиза: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текуща поддръжка (извън гаранцията), в т.ч.: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труд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пътуване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материали на всички превантивни поддръжки на всеки 2000 и 6000 часа.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оригинални глави на цилиндъра и свещи;</w:t>
      </w:r>
    </w:p>
    <w:p w:rsidR="006501C0" w:rsidRPr="00B12762" w:rsidRDefault="006501C0" w:rsidP="003A7E25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междинен ремонт на 30 000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мониторинг на първите 2 000 часа;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наблюдение от разстояние;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обучение на персонала.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В цената на поддръжката не влиза: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поддръжка и смяна на свещи;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др. консумативи;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провеждане на инспекции.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B429F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Променливи разходи </w:t>
      </w:r>
    </w:p>
    <w:p w:rsidR="006501C0" w:rsidRPr="00B12762" w:rsidRDefault="006501C0" w:rsidP="000C7E7F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работа на когенерационн</w:t>
      </w:r>
      <w:r w:rsidR="00971732">
        <w:rPr>
          <w:rFonts w:ascii="Times New Roman" w:hAnsi="Times New Roman"/>
          <w:sz w:val="24"/>
          <w:szCs w:val="24"/>
          <w:lang w:val="bg-BG"/>
        </w:rPr>
        <w:t>ата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1732">
        <w:rPr>
          <w:rFonts w:ascii="Times New Roman" w:hAnsi="Times New Roman"/>
          <w:sz w:val="24"/>
          <w:szCs w:val="24"/>
          <w:lang w:val="bg-BG"/>
        </w:rPr>
        <w:t>инсталация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през първата година, са изчислени при следните изходни параметри:</w:t>
      </w:r>
    </w:p>
    <w:p w:rsidR="006501C0" w:rsidRPr="00CC4D59" w:rsidRDefault="006501C0" w:rsidP="00211894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начална дата на работа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- 01/</w:t>
      </w:r>
      <w:r w:rsidR="0073166B">
        <w:rPr>
          <w:rFonts w:ascii="Times New Roman" w:hAnsi="Times New Roman"/>
          <w:sz w:val="24"/>
          <w:szCs w:val="24"/>
          <w:lang w:val="bg-BG"/>
        </w:rPr>
        <w:t>07</w:t>
      </w:r>
      <w:r w:rsidR="00CC4D59">
        <w:rPr>
          <w:rFonts w:ascii="Times New Roman" w:hAnsi="Times New Roman"/>
          <w:sz w:val="24"/>
          <w:szCs w:val="24"/>
          <w:lang w:val="bg-BG"/>
        </w:rPr>
        <w:t>/20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>20</w:t>
      </w:r>
    </w:p>
    <w:p w:rsidR="006501C0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lastRenderedPageBreak/>
        <w:t xml:space="preserve">- цена за 1000 </w:t>
      </w:r>
      <w:r w:rsidRPr="00B12762">
        <w:rPr>
          <w:rFonts w:ascii="Times New Roman" w:hAnsi="Times New Roman"/>
          <w:sz w:val="24"/>
          <w:szCs w:val="24"/>
        </w:rPr>
        <w:t>knm</w:t>
      </w:r>
      <w:r w:rsidRPr="00B12762">
        <w:rPr>
          <w:rFonts w:ascii="Times New Roman" w:hAnsi="Times New Roman"/>
          <w:sz w:val="24"/>
          <w:szCs w:val="24"/>
          <w:lang w:val="bg-BG"/>
        </w:rPr>
        <w:t>3 природен газ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 </w:t>
      </w:r>
      <w:r w:rsidR="00CC4D59">
        <w:rPr>
          <w:rFonts w:ascii="Times New Roman" w:hAnsi="Times New Roman"/>
          <w:sz w:val="24"/>
          <w:szCs w:val="24"/>
          <w:lang w:val="bg-BG"/>
        </w:rPr>
        <w:t>310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>,72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лв. </w:t>
      </w: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първата прогнозна година, са както следва:</w:t>
      </w:r>
    </w:p>
    <w:p w:rsidR="006501C0" w:rsidRPr="00B12762" w:rsidRDefault="006501C0" w:rsidP="007B5DCA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разход на природен газ:</w:t>
      </w:r>
    </w:p>
    <w:p w:rsidR="006501C0" w:rsidRPr="002904FD" w:rsidRDefault="006501C0" w:rsidP="002904FD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val="bg-BG" w:eastAsia="zh-CN"/>
        </w:rPr>
      </w:pPr>
    </w:p>
    <w:p w:rsidR="006501C0" w:rsidRDefault="006501C0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53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842"/>
        <w:gridCol w:w="811"/>
        <w:gridCol w:w="963"/>
        <w:gridCol w:w="966"/>
        <w:gridCol w:w="1321"/>
        <w:gridCol w:w="1229"/>
        <w:gridCol w:w="1114"/>
        <w:gridCol w:w="1207"/>
      </w:tblGrid>
      <w:tr w:rsidR="00CC4D59" w:rsidRPr="00CC4D59" w:rsidTr="00CC4D59">
        <w:trPr>
          <w:trHeight w:val="641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КГ 1 и КГ2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Юли, 2020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Август, 2020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Септември, 2020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Октомври, 2020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Ноември, 2020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Декември, 2020</w:t>
            </w:r>
          </w:p>
        </w:tc>
      </w:tr>
      <w:tr w:rsidR="00CC4D59" w:rsidRPr="00CC4D59" w:rsidTr="00CC4D59">
        <w:trPr>
          <w:trHeight w:val="259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х.н.к.м.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86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69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154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309</w:t>
            </w:r>
          </w:p>
        </w:tc>
      </w:tr>
      <w:tr w:rsidR="00CC4D59" w:rsidRPr="00CC4D59" w:rsidTr="00CC4D59">
        <w:trPr>
          <w:trHeight w:val="259"/>
        </w:trPr>
        <w:tc>
          <w:tcPr>
            <w:tcW w:w="2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Разход за природен газ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хил.лв.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27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27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21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48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96</w:t>
            </w:r>
          </w:p>
        </w:tc>
      </w:tr>
      <w:tr w:rsidR="00CC4D59" w:rsidRPr="00CC4D59" w:rsidTr="00CC4D59">
        <w:trPr>
          <w:trHeight w:val="259"/>
        </w:trPr>
        <w:tc>
          <w:tcPr>
            <w:tcW w:w="2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</w:p>
        </w:tc>
      </w:tr>
    </w:tbl>
    <w:p w:rsidR="00D83039" w:rsidRDefault="00D8303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89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2980"/>
        <w:gridCol w:w="803"/>
        <w:gridCol w:w="964"/>
        <w:gridCol w:w="1205"/>
        <w:gridCol w:w="879"/>
        <w:gridCol w:w="879"/>
        <w:gridCol w:w="879"/>
        <w:gridCol w:w="879"/>
        <w:gridCol w:w="1021"/>
      </w:tblGrid>
      <w:tr w:rsidR="00CC4D59" w:rsidRPr="00CC4D59" w:rsidTr="00CC4D59">
        <w:trPr>
          <w:trHeight w:val="655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КГ 1 и КГ2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Януари, 2021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Февруари, 2021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Март, 2021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Април, 2021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Май, 2021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Юни, 2021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ОБЩО</w:t>
            </w:r>
          </w:p>
        </w:tc>
      </w:tr>
      <w:tr w:rsidR="00CC4D59" w:rsidRPr="00CC4D59" w:rsidTr="00CC4D59">
        <w:trPr>
          <w:trHeight w:val="26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х.н.к.м.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326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292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154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2 195</w:t>
            </w:r>
          </w:p>
        </w:tc>
      </w:tr>
      <w:tr w:rsidR="00CC4D59" w:rsidRPr="00CC4D59" w:rsidTr="00CC4D59">
        <w:trPr>
          <w:trHeight w:val="26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Разход за природен газ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хил.лв.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128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91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75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682</w:t>
            </w:r>
          </w:p>
        </w:tc>
      </w:tr>
    </w:tbl>
    <w:p w:rsidR="00CC4D59" w:rsidRDefault="00CC4D5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CC4D59" w:rsidRPr="00D83039" w:rsidRDefault="00CC4D5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6501C0" w:rsidRPr="00B626F6" w:rsidRDefault="006501C0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консумативи (масло, грес, вкл. труд)</w:t>
      </w:r>
      <w:r w:rsidRPr="00B626F6">
        <w:rPr>
          <w:rFonts w:ascii="Times New Roman" w:hAnsi="Times New Roman"/>
          <w:lang w:val="bg-BG"/>
        </w:rPr>
        <w:tab/>
      </w:r>
      <w:r w:rsidR="00603828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 xml:space="preserve">- </w:t>
      </w:r>
      <w:r w:rsidR="00D83039">
        <w:rPr>
          <w:rFonts w:ascii="Times New Roman" w:hAnsi="Times New Roman"/>
          <w:lang w:val="bg-BG"/>
        </w:rPr>
        <w:t>2</w:t>
      </w:r>
      <w:r w:rsidR="00D83039">
        <w:rPr>
          <w:rFonts w:ascii="Times New Roman" w:hAnsi="Times New Roman"/>
        </w:rPr>
        <w:t>4</w:t>
      </w:r>
      <w:r w:rsidRPr="00B626F6">
        <w:rPr>
          <w:rFonts w:ascii="Times New Roman" w:hAnsi="Times New Roman"/>
          <w:lang w:val="bg-BG"/>
        </w:rPr>
        <w:t xml:space="preserve"> хил.лв. </w:t>
      </w:r>
    </w:p>
    <w:p w:rsidR="006501C0" w:rsidRPr="00B626F6" w:rsidRDefault="006501C0" w:rsidP="003864BD">
      <w:pPr>
        <w:pStyle w:val="ListParagraph"/>
        <w:ind w:left="2160"/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/изчислени на база часове работа на двигателя/</w:t>
      </w:r>
    </w:p>
    <w:p w:rsidR="000D717D" w:rsidRPr="00D83039" w:rsidRDefault="006501C0" w:rsidP="00D8303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ел.енергия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  </w:t>
      </w:r>
      <w:r w:rsidR="00D83039" w:rsidRPr="00F442B9">
        <w:rPr>
          <w:rFonts w:ascii="Times New Roman" w:hAnsi="Times New Roman"/>
          <w:lang w:val="bg-BG"/>
        </w:rPr>
        <w:t>20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разходи за акциз на природен газ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="008E09F7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 xml:space="preserve">- </w:t>
      </w:r>
      <w:r w:rsidR="008E09F7">
        <w:rPr>
          <w:rFonts w:ascii="Times New Roman" w:hAnsi="Times New Roman"/>
          <w:lang w:val="bg-BG"/>
        </w:rPr>
        <w:t xml:space="preserve">   </w:t>
      </w:r>
      <w:bookmarkStart w:id="0" w:name="_GoBack"/>
      <w:bookmarkEnd w:id="0"/>
      <w:r w:rsidR="00E7179F">
        <w:rPr>
          <w:rFonts w:ascii="Times New Roman" w:hAnsi="Times New Roman"/>
          <w:lang w:val="bg-BG"/>
        </w:rPr>
        <w:t>5</w:t>
      </w:r>
      <w:r w:rsidR="00D83039" w:rsidRPr="00F442B9">
        <w:rPr>
          <w:rFonts w:ascii="Times New Roman" w:hAnsi="Times New Roman"/>
          <w:lang w:val="bg-BG"/>
        </w:rPr>
        <w:t>0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FD3D54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FD3D54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Условно – постоянни разходи 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>През първата година от дейността на когенерационната система, са заложени следните прогнозни условно – постоянни разходи: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амортизация (1/15 от стойността на амортизируемите активи)</w:t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4D39C4">
        <w:rPr>
          <w:rFonts w:ascii="Times New Roman" w:hAnsi="Times New Roman"/>
          <w:lang w:val="bg-BG"/>
        </w:rPr>
        <w:t>41</w:t>
      </w:r>
      <w:r w:rsidR="00D83039" w:rsidRPr="00F442B9">
        <w:rPr>
          <w:rFonts w:ascii="Times New Roman" w:hAnsi="Times New Roman"/>
          <w:lang w:val="bg-BG"/>
        </w:rPr>
        <w:t>1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 xml:space="preserve"> </w:t>
      </w:r>
      <w:r w:rsidRPr="00B12762">
        <w:rPr>
          <w:rFonts w:ascii="Times New Roman" w:hAnsi="Times New Roman"/>
          <w:lang w:val="bg-BG"/>
        </w:rPr>
        <w:tab/>
        <w:t>- разходи за ремонт (съгласно описано в ремонтна програма)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2904FD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 xml:space="preserve">- </w:t>
      </w:r>
      <w:r w:rsidR="003511FD" w:rsidRPr="003511FD">
        <w:rPr>
          <w:rFonts w:ascii="Times New Roman" w:hAnsi="Times New Roman"/>
          <w:lang w:val="bg-BG"/>
        </w:rPr>
        <w:t>210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 xml:space="preserve">- разходи за заплати (при средно-списъчен персонал - </w:t>
      </w:r>
      <w:r w:rsidR="004D39C4">
        <w:rPr>
          <w:rFonts w:ascii="Times New Roman" w:hAnsi="Times New Roman"/>
          <w:lang w:val="bg-BG"/>
        </w:rPr>
        <w:t>1</w:t>
      </w:r>
      <w:r w:rsidR="000360EC">
        <w:rPr>
          <w:rFonts w:ascii="Times New Roman" w:hAnsi="Times New Roman"/>
          <w:lang w:val="bg-BG"/>
        </w:rPr>
        <w:t>2</w:t>
      </w:r>
      <w:r w:rsidRPr="00B12762">
        <w:rPr>
          <w:rFonts w:ascii="Times New Roman" w:hAnsi="Times New Roman"/>
          <w:lang w:val="bg-BG"/>
        </w:rPr>
        <w:t xml:space="preserve"> души)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3511FD" w:rsidRPr="003511FD">
        <w:rPr>
          <w:rFonts w:ascii="Times New Roman" w:hAnsi="Times New Roman"/>
          <w:lang w:val="bg-BG"/>
        </w:rPr>
        <w:t>223</w:t>
      </w:r>
      <w:r w:rsidRPr="00B12762">
        <w:rPr>
          <w:rFonts w:ascii="Times New Roman" w:hAnsi="Times New Roman"/>
          <w:lang w:val="bg-BG"/>
        </w:rPr>
        <w:t xml:space="preserve"> хил. 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соц.осигуровки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   </w:t>
      </w:r>
      <w:r w:rsidR="003511FD" w:rsidRPr="003511FD">
        <w:rPr>
          <w:rFonts w:ascii="Times New Roman" w:hAnsi="Times New Roman"/>
          <w:lang w:val="bg-BG"/>
        </w:rPr>
        <w:t>43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367483" w:rsidRPr="00CC4D59" w:rsidRDefault="006501C0" w:rsidP="00CC4D59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разходи, пряко свързани с регулираната дейност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CC4D59" w:rsidRPr="00CC4D59">
        <w:rPr>
          <w:rFonts w:ascii="Times New Roman" w:hAnsi="Times New Roman"/>
          <w:lang w:val="bg-BG"/>
        </w:rPr>
        <w:t>337</w:t>
      </w:r>
      <w:r w:rsidR="00CC4D59">
        <w:rPr>
          <w:rFonts w:ascii="Times New Roman" w:hAnsi="Times New Roman"/>
          <w:lang w:val="bg-BG"/>
        </w:rPr>
        <w:t xml:space="preserve"> хил.лв., </w:t>
      </w:r>
    </w:p>
    <w:p w:rsidR="006501C0" w:rsidRPr="00B626F6" w:rsidRDefault="006501C0" w:rsidP="003F5A58">
      <w:pPr>
        <w:pStyle w:val="ListParagraph"/>
        <w:ind w:left="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3F5A58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FB1DDA" w:rsidRPr="00266138" w:rsidRDefault="00937099" w:rsidP="00FB1DDA">
      <w:pPr>
        <w:pStyle w:val="ListParagraph"/>
        <w:ind w:firstLine="720"/>
        <w:jc w:val="both"/>
        <w:rPr>
          <w:rFonts w:ascii="Times New Roman" w:hAnsi="Times New Roman"/>
          <w:i/>
          <w:sz w:val="24"/>
          <w:szCs w:val="24"/>
          <w:u w:val="single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>При определяне на капиталовата структура, сме се п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>озова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ли 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 xml:space="preserve">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, според която: </w:t>
      </w:r>
      <w:r w:rsidRPr="00266138">
        <w:rPr>
          <w:rFonts w:ascii="Times New Roman" w:hAnsi="Times New Roman"/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производство.</w:t>
      </w:r>
    </w:p>
    <w:p w:rsidR="00BC181F" w:rsidRDefault="00BC181F" w:rsidP="00FB1DDA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181F" w:rsidRPr="00F442B9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М.Май 2014год., Оранжерии Гимел</w:t>
      </w:r>
      <w:r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ЕОО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Д рефинансира всички свои кредитни експозиции към </w:t>
      </w:r>
      <w:r>
        <w:rPr>
          <w:rFonts w:ascii="Times New Roman" w:hAnsi="Times New Roman"/>
          <w:sz w:val="24"/>
          <w:szCs w:val="24"/>
          <w:lang w:val="bg-BG"/>
        </w:rPr>
        <w:t>ПИБ АД /МКБ Юнионбанк АД/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от Уникредит Булбанк АД, в едно с извършенит</w:t>
      </w:r>
      <w:r w:rsidR="003511FD">
        <w:rPr>
          <w:rFonts w:ascii="Times New Roman" w:hAnsi="Times New Roman"/>
          <w:sz w:val="24"/>
          <w:szCs w:val="24"/>
          <w:lang w:val="bg-BG"/>
        </w:rPr>
        <w:t>е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до момента самоучасти</w:t>
      </w:r>
      <w:r w:rsidR="003511FD">
        <w:rPr>
          <w:rFonts w:ascii="Times New Roman" w:eastAsia="Malgun Gothic" w:hAnsi="Times New Roman"/>
          <w:sz w:val="24"/>
          <w:szCs w:val="24"/>
          <w:lang w:val="bg-BG" w:eastAsia="ko-KR"/>
        </w:rPr>
        <w:t>я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 проект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под формата на инвестиционен кредит. </w:t>
      </w:r>
    </w:p>
    <w:p w:rsidR="00367483" w:rsidRPr="00367483" w:rsidRDefault="00367483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27.09.2018 е подписан последният Анекс №14 </w:t>
      </w:r>
    </w:p>
    <w:p w:rsidR="00BC181F" w:rsidRPr="00BC181F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lastRenderedPageBreak/>
        <w:t xml:space="preserve">В резултат структурата за финансиране на ко- генерационната инсталация на Оранжерии Гимел </w:t>
      </w:r>
      <w:r>
        <w:rPr>
          <w:rFonts w:ascii="Times New Roman" w:hAnsi="Times New Roman"/>
          <w:sz w:val="24"/>
          <w:szCs w:val="24"/>
          <w:lang w:val="bg-BG"/>
        </w:rPr>
        <w:t>ІІ ЕООД – ТЕЦ Оранжерия Левски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е както следва:</w:t>
      </w:r>
    </w:p>
    <w:p w:rsidR="00CC4D59" w:rsidRPr="00CC4D59" w:rsidRDefault="00BC181F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договор за инвестиционен кредит №</w:t>
      </w:r>
      <w:r>
        <w:rPr>
          <w:rFonts w:ascii="Times New Roman" w:hAnsi="Times New Roman"/>
          <w:sz w:val="24"/>
          <w:szCs w:val="24"/>
          <w:lang w:val="bg-BG"/>
        </w:rPr>
        <w:t>387/09.05.2014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г. на обща стойност </w:t>
      </w:r>
      <w:r>
        <w:rPr>
          <w:rFonts w:ascii="Times New Roman" w:hAnsi="Times New Roman"/>
          <w:sz w:val="24"/>
          <w:szCs w:val="24"/>
          <w:lang w:val="bg-BG"/>
        </w:rPr>
        <w:t>6649,822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хил.лв., от които </w:t>
      </w:r>
      <w:r>
        <w:rPr>
          <w:rFonts w:ascii="Times New Roman" w:hAnsi="Times New Roman"/>
          <w:sz w:val="24"/>
          <w:szCs w:val="24"/>
          <w:lang w:val="bg-BG"/>
        </w:rPr>
        <w:t>6138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 рефинансиране на инвестиционни плащания по ТЕЦ Оранжерия </w:t>
      </w:r>
      <w:r>
        <w:rPr>
          <w:rFonts w:ascii="Times New Roman" w:hAnsi="Times New Roman"/>
          <w:sz w:val="24"/>
          <w:szCs w:val="24"/>
          <w:lang w:val="bg-BG"/>
        </w:rPr>
        <w:t>Левски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>.</w:t>
      </w:r>
    </w:p>
    <w:p w:rsidR="00BC181F" w:rsidRPr="00CC4D59" w:rsidRDefault="00BC181F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собствен капитал в проекта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 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- 0 лева. </w:t>
      </w:r>
    </w:p>
    <w:p w:rsidR="00CC4D59" w:rsidRDefault="00CC4D59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37099" w:rsidRDefault="00BC181F" w:rsidP="00BC181F">
      <w:pPr>
        <w:pStyle w:val="ListParagraph"/>
        <w:ind w:firstLine="360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Собственото участие в проекта, както бе описано по- горе бе рефина</w:t>
      </w:r>
      <w:r w:rsidR="00CC4D59">
        <w:rPr>
          <w:rFonts w:ascii="Times New Roman" w:hAnsi="Times New Roman"/>
          <w:sz w:val="24"/>
          <w:szCs w:val="24"/>
          <w:lang w:val="bg-BG"/>
        </w:rPr>
        <w:t>нсирано от Уникредит Булбанк АД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C4D59">
        <w:rPr>
          <w:rFonts w:ascii="Times New Roman" w:eastAsia="Malgun Gothic" w:hAnsi="Times New Roman"/>
          <w:sz w:val="24"/>
          <w:szCs w:val="24"/>
          <w:lang w:val="bg-BG" w:eastAsia="ko-KR"/>
        </w:rPr>
        <w:t>а през 2019 г. от Обединена Българска Банка АД.</w:t>
      </w:r>
    </w:p>
    <w:p w:rsidR="00CC4D59" w:rsidRPr="00CC4D59" w:rsidRDefault="00CC4D59" w:rsidP="00BC181F">
      <w:pPr>
        <w:pStyle w:val="ListParagraph"/>
        <w:ind w:firstLine="360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</w:p>
    <w:p w:rsidR="006501C0" w:rsidRPr="00266138" w:rsidRDefault="006501C0" w:rsidP="003608EE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Нормата на възвръщаемост е </w:t>
      </w:r>
      <w:r w:rsidR="003511FD">
        <w:rPr>
          <w:rFonts w:ascii="Times New Roman" w:hAnsi="Times New Roman"/>
          <w:sz w:val="24"/>
          <w:szCs w:val="24"/>
          <w:lang w:val="bg-BG"/>
        </w:rPr>
        <w:t>3,37</w:t>
      </w:r>
      <w:r w:rsidR="00FE0639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66138">
        <w:rPr>
          <w:rFonts w:ascii="Times New Roman" w:hAnsi="Times New Roman"/>
          <w:sz w:val="24"/>
          <w:szCs w:val="24"/>
          <w:lang w:val="bg-BG"/>
        </w:rPr>
        <w:t>%, или:</w:t>
      </w:r>
    </w:p>
    <w:tbl>
      <w:tblPr>
        <w:tblW w:w="9540" w:type="dxa"/>
        <w:tblInd w:w="47" w:type="dxa"/>
        <w:tblCellMar>
          <w:left w:w="70" w:type="dxa"/>
          <w:right w:w="70" w:type="dxa"/>
        </w:tblCellMar>
        <w:tblLook w:val="04A0"/>
      </w:tblPr>
      <w:tblGrid>
        <w:gridCol w:w="400"/>
        <w:gridCol w:w="4460"/>
        <w:gridCol w:w="800"/>
        <w:gridCol w:w="1740"/>
        <w:gridCol w:w="2140"/>
      </w:tblGrid>
      <w:tr w:rsidR="003511FD" w:rsidRPr="003511FD" w:rsidTr="003511FD">
        <w:trPr>
          <w:trHeight w:val="600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lang w:val="bg-BG" w:eastAsia="zh-CN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4"/>
                <w:szCs w:val="24"/>
                <w:lang w:val="bg-BG" w:eastAsia="zh-CN"/>
              </w:rPr>
              <w:t>Описание</w:t>
            </w: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lang w:val="bg-BG" w:eastAsia="zh-CN"/>
              </w:rPr>
              <w:t>Мярка</w:t>
            </w:r>
          </w:p>
        </w:tc>
        <w:tc>
          <w:tcPr>
            <w:tcW w:w="17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Към 31.12.2018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Към 31.12.2019 г.</w:t>
            </w:r>
          </w:p>
        </w:tc>
      </w:tr>
      <w:tr w:rsidR="003511FD" w:rsidRPr="003511FD" w:rsidTr="003511FD">
        <w:trPr>
          <w:trHeight w:val="25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16"/>
                <w:szCs w:val="16"/>
                <w:lang w:val="bg-BG" w:eastAsia="zh-CN"/>
              </w:rPr>
              <w:t>5</w:t>
            </w:r>
          </w:p>
        </w:tc>
      </w:tr>
      <w:tr w:rsidR="003511FD" w:rsidRPr="003511FD" w:rsidTr="003511FD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Собствен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 </w:t>
            </w:r>
          </w:p>
        </w:tc>
      </w:tr>
      <w:tr w:rsidR="003511FD" w:rsidRPr="003511FD" w:rsidTr="003511FD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Дял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 </w:t>
            </w:r>
          </w:p>
        </w:tc>
      </w:tr>
      <w:tr w:rsidR="003511FD" w:rsidRPr="003511FD" w:rsidTr="003511FD">
        <w:trPr>
          <w:trHeight w:val="34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Норма на възвръщаемост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7,00%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7,00%</w:t>
            </w:r>
          </w:p>
        </w:tc>
      </w:tr>
      <w:tr w:rsidR="003511FD" w:rsidRPr="003511FD" w:rsidTr="003511FD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 xml:space="preserve">Привлечен капитал, в т. ч.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3 994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3 336</w:t>
            </w:r>
          </w:p>
        </w:tc>
      </w:tr>
      <w:tr w:rsidR="003511FD" w:rsidRPr="003511FD" w:rsidTr="003511FD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 xml:space="preserve"> - договори за финансов лизинг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 </w:t>
            </w:r>
          </w:p>
        </w:tc>
      </w:tr>
      <w:tr w:rsidR="003511FD" w:rsidRPr="003511FD" w:rsidTr="003511FD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 xml:space="preserve"> - кредити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3 994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3 336</w:t>
            </w:r>
          </w:p>
        </w:tc>
      </w:tr>
      <w:tr w:rsidR="003511FD" w:rsidRPr="003511FD" w:rsidTr="003511FD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Дял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100,00%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100,00%</w:t>
            </w:r>
          </w:p>
        </w:tc>
      </w:tr>
      <w:tr w:rsidR="003511FD" w:rsidRPr="003511FD" w:rsidTr="003511FD">
        <w:trPr>
          <w:trHeight w:val="6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4,45%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3,37%</w:t>
            </w:r>
          </w:p>
        </w:tc>
      </w:tr>
      <w:tr w:rsidR="003511FD" w:rsidRPr="003511FD" w:rsidTr="003511FD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Данъчни задължения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10,00%</w:t>
            </w:r>
          </w:p>
        </w:tc>
      </w:tr>
      <w:tr w:rsidR="003511FD" w:rsidRPr="003511FD" w:rsidTr="003511FD">
        <w:trPr>
          <w:trHeight w:val="270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11FD" w:rsidRPr="003511FD" w:rsidRDefault="003511FD" w:rsidP="003511F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bg-BG" w:eastAsia="zh-CN"/>
              </w:rPr>
              <w:t>НОРМА НА ВЪЗВРЪЩАЕМОСТ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</w:pPr>
            <w:r w:rsidRPr="003511FD">
              <w:rPr>
                <w:rFonts w:ascii="Times New Roman" w:eastAsia="Times New Roman" w:hAnsi="Times New Roman"/>
                <w:sz w:val="20"/>
                <w:szCs w:val="20"/>
                <w:lang w:val="bg-BG" w:eastAsia="zh-CN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4,45%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511FD" w:rsidRPr="003511FD" w:rsidRDefault="003511FD" w:rsidP="003511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3511FD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3,37%</w:t>
            </w:r>
          </w:p>
        </w:tc>
      </w:tr>
    </w:tbl>
    <w:p w:rsidR="006501C0" w:rsidRPr="00B12762" w:rsidRDefault="006501C0" w:rsidP="00BE559F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F753FC">
        <w:rPr>
          <w:rFonts w:ascii="Times New Roman" w:hAnsi="Times New Roman"/>
          <w:lang w:val="bg-BG"/>
        </w:rPr>
        <w:t>Управител</w:t>
      </w:r>
      <w:r w:rsidRPr="00B12762">
        <w:rPr>
          <w:rFonts w:ascii="Times New Roman" w:hAnsi="Times New Roman"/>
          <w:lang w:val="bg-BG"/>
        </w:rPr>
        <w:t xml:space="preserve">: </w:t>
      </w:r>
      <w:r w:rsidR="00D6292E">
        <w:rPr>
          <w:rFonts w:ascii="Times New Roman" w:hAnsi="Times New Roman"/>
          <w:lang w:val="bg-BG"/>
        </w:rPr>
        <w:t xml:space="preserve">   </w:t>
      </w:r>
      <w:r w:rsidRPr="00B12762">
        <w:rPr>
          <w:rFonts w:ascii="Times New Roman" w:hAnsi="Times New Roman"/>
          <w:lang w:val="bg-BG"/>
        </w:rPr>
        <w:t>………………………….</w:t>
      </w: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>/</w:t>
      </w:r>
      <w:r w:rsidR="008D77C9">
        <w:rPr>
          <w:rFonts w:ascii="Times New Roman" w:hAnsi="Times New Roman"/>
          <w:lang w:val="bg-BG"/>
        </w:rPr>
        <w:t>Евелина Владимирова</w:t>
      </w:r>
      <w:r w:rsidRPr="00B12762">
        <w:rPr>
          <w:rFonts w:ascii="Times New Roman" w:hAnsi="Times New Roman"/>
          <w:lang w:val="bg-BG"/>
        </w:rPr>
        <w:t>/</w:t>
      </w:r>
    </w:p>
    <w:sectPr w:rsidR="006501C0" w:rsidRPr="00B12762" w:rsidSect="00492A3D">
      <w:footerReference w:type="even" r:id="rId8"/>
      <w:footerReference w:type="default" r:id="rId9"/>
      <w:pgSz w:w="11906" w:h="16838" w:code="9"/>
      <w:pgMar w:top="1079" w:right="1133" w:bottom="1079" w:left="720" w:header="510" w:footer="510" w:gutter="0"/>
      <w:cols w:space="2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2EC" w:rsidRDefault="00EA42EC">
      <w:r>
        <w:separator/>
      </w:r>
    </w:p>
  </w:endnote>
  <w:endnote w:type="continuationSeparator" w:id="1">
    <w:p w:rsidR="00EA42EC" w:rsidRDefault="00EA4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2717D">
      <w:rPr>
        <w:rStyle w:val="PageNumber"/>
        <w:noProof/>
      </w:rPr>
      <w:t>7</w: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2EC" w:rsidRDefault="00EA42EC">
      <w:r>
        <w:separator/>
      </w:r>
    </w:p>
  </w:footnote>
  <w:footnote w:type="continuationSeparator" w:id="1">
    <w:p w:rsidR="00EA42EC" w:rsidRDefault="00EA42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B4F6D"/>
    <w:multiLevelType w:val="hybridMultilevel"/>
    <w:tmpl w:val="AA0ACC3A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72A5196"/>
    <w:multiLevelType w:val="hybridMultilevel"/>
    <w:tmpl w:val="05807F84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4F9221B"/>
    <w:multiLevelType w:val="hybridMultilevel"/>
    <w:tmpl w:val="56904C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5A9E2D5D"/>
    <w:multiLevelType w:val="hybridMultilevel"/>
    <w:tmpl w:val="042AFF4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7F27D1"/>
    <w:multiLevelType w:val="hybridMultilevel"/>
    <w:tmpl w:val="8A0C98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8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2F3"/>
    <w:rsid w:val="000006A5"/>
    <w:rsid w:val="000126AD"/>
    <w:rsid w:val="00012EBD"/>
    <w:rsid w:val="000301B3"/>
    <w:rsid w:val="000341BD"/>
    <w:rsid w:val="000360EC"/>
    <w:rsid w:val="00037965"/>
    <w:rsid w:val="00041406"/>
    <w:rsid w:val="00047AB3"/>
    <w:rsid w:val="00055054"/>
    <w:rsid w:val="00055EA0"/>
    <w:rsid w:val="00057E2D"/>
    <w:rsid w:val="000A493C"/>
    <w:rsid w:val="000A78AD"/>
    <w:rsid w:val="000B1A56"/>
    <w:rsid w:val="000C05AD"/>
    <w:rsid w:val="000C7E7F"/>
    <w:rsid w:val="000D717D"/>
    <w:rsid w:val="000E518E"/>
    <w:rsid w:val="000E6079"/>
    <w:rsid w:val="000F17C5"/>
    <w:rsid w:val="000F50BA"/>
    <w:rsid w:val="00112422"/>
    <w:rsid w:val="00137F4A"/>
    <w:rsid w:val="00157050"/>
    <w:rsid w:val="001813C5"/>
    <w:rsid w:val="00185D5D"/>
    <w:rsid w:val="00193883"/>
    <w:rsid w:val="001A15EB"/>
    <w:rsid w:val="001A2060"/>
    <w:rsid w:val="001C0DFE"/>
    <w:rsid w:val="001E1B88"/>
    <w:rsid w:val="001F00B0"/>
    <w:rsid w:val="001F5613"/>
    <w:rsid w:val="00211894"/>
    <w:rsid w:val="00217CF6"/>
    <w:rsid w:val="00226AF0"/>
    <w:rsid w:val="00241A81"/>
    <w:rsid w:val="00247606"/>
    <w:rsid w:val="00252CF6"/>
    <w:rsid w:val="00260506"/>
    <w:rsid w:val="00266138"/>
    <w:rsid w:val="00271097"/>
    <w:rsid w:val="002904FD"/>
    <w:rsid w:val="00294B4F"/>
    <w:rsid w:val="002A2BFD"/>
    <w:rsid w:val="002A7E24"/>
    <w:rsid w:val="002C2618"/>
    <w:rsid w:val="002D0441"/>
    <w:rsid w:val="002D2748"/>
    <w:rsid w:val="002F2933"/>
    <w:rsid w:val="002F5197"/>
    <w:rsid w:val="00303566"/>
    <w:rsid w:val="003350D8"/>
    <w:rsid w:val="00346652"/>
    <w:rsid w:val="003511FD"/>
    <w:rsid w:val="00356721"/>
    <w:rsid w:val="003574D5"/>
    <w:rsid w:val="003608EE"/>
    <w:rsid w:val="00367483"/>
    <w:rsid w:val="003713C7"/>
    <w:rsid w:val="00371742"/>
    <w:rsid w:val="003864BD"/>
    <w:rsid w:val="00391A74"/>
    <w:rsid w:val="0039236E"/>
    <w:rsid w:val="003A0541"/>
    <w:rsid w:val="003A3966"/>
    <w:rsid w:val="003A49CE"/>
    <w:rsid w:val="003A4CF8"/>
    <w:rsid w:val="003A7E25"/>
    <w:rsid w:val="003B07CA"/>
    <w:rsid w:val="003B18EE"/>
    <w:rsid w:val="003B429F"/>
    <w:rsid w:val="003C0FAC"/>
    <w:rsid w:val="003D03CD"/>
    <w:rsid w:val="003D7325"/>
    <w:rsid w:val="003F5A58"/>
    <w:rsid w:val="00411305"/>
    <w:rsid w:val="00420048"/>
    <w:rsid w:val="00431C57"/>
    <w:rsid w:val="00433B2C"/>
    <w:rsid w:val="00444284"/>
    <w:rsid w:val="00445BEF"/>
    <w:rsid w:val="00453931"/>
    <w:rsid w:val="00455300"/>
    <w:rsid w:val="00467CDB"/>
    <w:rsid w:val="0047032F"/>
    <w:rsid w:val="004707EF"/>
    <w:rsid w:val="004775AB"/>
    <w:rsid w:val="004800A7"/>
    <w:rsid w:val="00485652"/>
    <w:rsid w:val="00492A3D"/>
    <w:rsid w:val="00496283"/>
    <w:rsid w:val="00496497"/>
    <w:rsid w:val="004C712C"/>
    <w:rsid w:val="004D39C4"/>
    <w:rsid w:val="004F30C7"/>
    <w:rsid w:val="00503379"/>
    <w:rsid w:val="00506BD0"/>
    <w:rsid w:val="00522145"/>
    <w:rsid w:val="00540739"/>
    <w:rsid w:val="0055336D"/>
    <w:rsid w:val="00561F8C"/>
    <w:rsid w:val="00563381"/>
    <w:rsid w:val="005735FD"/>
    <w:rsid w:val="0058089A"/>
    <w:rsid w:val="005955C9"/>
    <w:rsid w:val="005A5994"/>
    <w:rsid w:val="005B6F92"/>
    <w:rsid w:val="005D59C9"/>
    <w:rsid w:val="005E271D"/>
    <w:rsid w:val="005E78AC"/>
    <w:rsid w:val="005F39F8"/>
    <w:rsid w:val="005F556C"/>
    <w:rsid w:val="005F5D89"/>
    <w:rsid w:val="005F606E"/>
    <w:rsid w:val="00603828"/>
    <w:rsid w:val="006042F3"/>
    <w:rsid w:val="0062098B"/>
    <w:rsid w:val="006243E9"/>
    <w:rsid w:val="0063351E"/>
    <w:rsid w:val="00634E02"/>
    <w:rsid w:val="00636B8A"/>
    <w:rsid w:val="006501C0"/>
    <w:rsid w:val="006525CF"/>
    <w:rsid w:val="0065623F"/>
    <w:rsid w:val="00664673"/>
    <w:rsid w:val="00677CC2"/>
    <w:rsid w:val="00685DCC"/>
    <w:rsid w:val="0069091F"/>
    <w:rsid w:val="00693F1F"/>
    <w:rsid w:val="006C0E86"/>
    <w:rsid w:val="006C3E77"/>
    <w:rsid w:val="006D5B6A"/>
    <w:rsid w:val="006D6676"/>
    <w:rsid w:val="006E0EA6"/>
    <w:rsid w:val="006E4494"/>
    <w:rsid w:val="00704FC9"/>
    <w:rsid w:val="00730ABD"/>
    <w:rsid w:val="0073166B"/>
    <w:rsid w:val="00737F25"/>
    <w:rsid w:val="00746296"/>
    <w:rsid w:val="00747B73"/>
    <w:rsid w:val="00753CA6"/>
    <w:rsid w:val="00762433"/>
    <w:rsid w:val="00775D47"/>
    <w:rsid w:val="00787126"/>
    <w:rsid w:val="007B5DCA"/>
    <w:rsid w:val="007C0C1A"/>
    <w:rsid w:val="007C1AED"/>
    <w:rsid w:val="007C4D11"/>
    <w:rsid w:val="007C53DB"/>
    <w:rsid w:val="007D2567"/>
    <w:rsid w:val="007E6CEB"/>
    <w:rsid w:val="007F5B15"/>
    <w:rsid w:val="00812B69"/>
    <w:rsid w:val="00822236"/>
    <w:rsid w:val="00834A9E"/>
    <w:rsid w:val="008410FA"/>
    <w:rsid w:val="00860BC1"/>
    <w:rsid w:val="008630E3"/>
    <w:rsid w:val="00864BA0"/>
    <w:rsid w:val="00885200"/>
    <w:rsid w:val="0089645D"/>
    <w:rsid w:val="008B0C6F"/>
    <w:rsid w:val="008B5B10"/>
    <w:rsid w:val="008D71D8"/>
    <w:rsid w:val="008D73B1"/>
    <w:rsid w:val="008D77C9"/>
    <w:rsid w:val="008E09F7"/>
    <w:rsid w:val="008E247B"/>
    <w:rsid w:val="008E2FDF"/>
    <w:rsid w:val="008E5E85"/>
    <w:rsid w:val="008F07CC"/>
    <w:rsid w:val="008F3B56"/>
    <w:rsid w:val="00902B1D"/>
    <w:rsid w:val="0090666C"/>
    <w:rsid w:val="009105B4"/>
    <w:rsid w:val="0091136C"/>
    <w:rsid w:val="0091506B"/>
    <w:rsid w:val="00916AEE"/>
    <w:rsid w:val="00922F86"/>
    <w:rsid w:val="00937099"/>
    <w:rsid w:val="00942B66"/>
    <w:rsid w:val="00947321"/>
    <w:rsid w:val="00951DE7"/>
    <w:rsid w:val="0095568B"/>
    <w:rsid w:val="0096063B"/>
    <w:rsid w:val="00971486"/>
    <w:rsid w:val="00971732"/>
    <w:rsid w:val="00990C08"/>
    <w:rsid w:val="009A1738"/>
    <w:rsid w:val="009A281B"/>
    <w:rsid w:val="009C0FE7"/>
    <w:rsid w:val="009E2712"/>
    <w:rsid w:val="009E5FB6"/>
    <w:rsid w:val="009F5CF9"/>
    <w:rsid w:val="00A00C39"/>
    <w:rsid w:val="00A01B71"/>
    <w:rsid w:val="00A02DA5"/>
    <w:rsid w:val="00A11114"/>
    <w:rsid w:val="00A17EBC"/>
    <w:rsid w:val="00A35E18"/>
    <w:rsid w:val="00A42913"/>
    <w:rsid w:val="00A42A53"/>
    <w:rsid w:val="00A4615C"/>
    <w:rsid w:val="00A5798C"/>
    <w:rsid w:val="00A612B8"/>
    <w:rsid w:val="00A73CDC"/>
    <w:rsid w:val="00A84F6E"/>
    <w:rsid w:val="00A871A2"/>
    <w:rsid w:val="00A95A76"/>
    <w:rsid w:val="00AA00C3"/>
    <w:rsid w:val="00AA2763"/>
    <w:rsid w:val="00AB02FC"/>
    <w:rsid w:val="00AB1FE7"/>
    <w:rsid w:val="00AB4130"/>
    <w:rsid w:val="00AC255A"/>
    <w:rsid w:val="00AC720F"/>
    <w:rsid w:val="00AE16A2"/>
    <w:rsid w:val="00B12762"/>
    <w:rsid w:val="00B15EF3"/>
    <w:rsid w:val="00B15F9E"/>
    <w:rsid w:val="00B34327"/>
    <w:rsid w:val="00B55148"/>
    <w:rsid w:val="00B626F6"/>
    <w:rsid w:val="00B779DB"/>
    <w:rsid w:val="00B83ADE"/>
    <w:rsid w:val="00B93699"/>
    <w:rsid w:val="00B97815"/>
    <w:rsid w:val="00BA3191"/>
    <w:rsid w:val="00BB06F1"/>
    <w:rsid w:val="00BB7548"/>
    <w:rsid w:val="00BC181F"/>
    <w:rsid w:val="00BC2B02"/>
    <w:rsid w:val="00BD604B"/>
    <w:rsid w:val="00BE1AA2"/>
    <w:rsid w:val="00BE559F"/>
    <w:rsid w:val="00BF022A"/>
    <w:rsid w:val="00C000C3"/>
    <w:rsid w:val="00C0228C"/>
    <w:rsid w:val="00C20B91"/>
    <w:rsid w:val="00C81F0B"/>
    <w:rsid w:val="00C86E55"/>
    <w:rsid w:val="00C90723"/>
    <w:rsid w:val="00C94091"/>
    <w:rsid w:val="00C971D7"/>
    <w:rsid w:val="00CA2B8D"/>
    <w:rsid w:val="00CB5041"/>
    <w:rsid w:val="00CC0ED9"/>
    <w:rsid w:val="00CC4D59"/>
    <w:rsid w:val="00CC5437"/>
    <w:rsid w:val="00CC5DAE"/>
    <w:rsid w:val="00CD7B8E"/>
    <w:rsid w:val="00CF42F9"/>
    <w:rsid w:val="00D179DF"/>
    <w:rsid w:val="00D2717D"/>
    <w:rsid w:val="00D3611F"/>
    <w:rsid w:val="00D53254"/>
    <w:rsid w:val="00D57408"/>
    <w:rsid w:val="00D6292E"/>
    <w:rsid w:val="00D81615"/>
    <w:rsid w:val="00D83039"/>
    <w:rsid w:val="00D932F2"/>
    <w:rsid w:val="00D95D08"/>
    <w:rsid w:val="00D9642D"/>
    <w:rsid w:val="00DA14DF"/>
    <w:rsid w:val="00DD1B3C"/>
    <w:rsid w:val="00DD3B1D"/>
    <w:rsid w:val="00DD73B2"/>
    <w:rsid w:val="00DF0D36"/>
    <w:rsid w:val="00E02699"/>
    <w:rsid w:val="00E05050"/>
    <w:rsid w:val="00E11D1C"/>
    <w:rsid w:val="00E169D3"/>
    <w:rsid w:val="00E44D04"/>
    <w:rsid w:val="00E52AEB"/>
    <w:rsid w:val="00E66906"/>
    <w:rsid w:val="00E71350"/>
    <w:rsid w:val="00E7179F"/>
    <w:rsid w:val="00E92EC9"/>
    <w:rsid w:val="00E9366F"/>
    <w:rsid w:val="00E960FD"/>
    <w:rsid w:val="00EA0B05"/>
    <w:rsid w:val="00EA42EC"/>
    <w:rsid w:val="00EB3980"/>
    <w:rsid w:val="00EB4C9C"/>
    <w:rsid w:val="00EB6700"/>
    <w:rsid w:val="00EB7DE9"/>
    <w:rsid w:val="00EC0ACA"/>
    <w:rsid w:val="00ED781B"/>
    <w:rsid w:val="00EE4C75"/>
    <w:rsid w:val="00EF589B"/>
    <w:rsid w:val="00EF7C18"/>
    <w:rsid w:val="00F108E2"/>
    <w:rsid w:val="00F13FC5"/>
    <w:rsid w:val="00F25436"/>
    <w:rsid w:val="00F26115"/>
    <w:rsid w:val="00F4359E"/>
    <w:rsid w:val="00F442B9"/>
    <w:rsid w:val="00F57325"/>
    <w:rsid w:val="00F63492"/>
    <w:rsid w:val="00F70E10"/>
    <w:rsid w:val="00F753FC"/>
    <w:rsid w:val="00F801EB"/>
    <w:rsid w:val="00F94430"/>
    <w:rsid w:val="00F94A5D"/>
    <w:rsid w:val="00FA5173"/>
    <w:rsid w:val="00FB1DDA"/>
    <w:rsid w:val="00FB6FCF"/>
    <w:rsid w:val="00FC1BCF"/>
    <w:rsid w:val="00FC7623"/>
    <w:rsid w:val="00FD3D54"/>
    <w:rsid w:val="00FD7557"/>
    <w:rsid w:val="00FE0639"/>
    <w:rsid w:val="00FF23D1"/>
    <w:rsid w:val="00FF38AF"/>
    <w:rsid w:val="00FF56BB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MS Mincho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561F8C"/>
    <w:rPr>
      <w:rFonts w:cs="Times New Roman"/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9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2A19-A8D1-4206-874A-68BCB401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1</Pages>
  <Words>1888</Words>
  <Characters>10765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Bavarian</cp:lastModifiedBy>
  <cp:revision>221</cp:revision>
  <cp:lastPrinted>2020-03-25T15:38:00Z</cp:lastPrinted>
  <dcterms:created xsi:type="dcterms:W3CDTF">2012-09-26T07:44:00Z</dcterms:created>
  <dcterms:modified xsi:type="dcterms:W3CDTF">2020-03-25T15:38:00Z</dcterms:modified>
</cp:coreProperties>
</file>